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ascii="宋体" w:hAnsi="宋体"/>
          <w:b/>
          <w:w w:val="150"/>
          <w:sz w:val="52"/>
        </w:rPr>
      </w:pPr>
    </w:p>
    <w:p>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3"/>
      </w:pPr>
    </w:p>
    <w:p/>
    <w:p>
      <w:pPr>
        <w:spacing w:line="360" w:lineRule="auto"/>
        <w:ind w:firstLine="361" w:firstLineChars="100"/>
        <w:rPr>
          <w:rFonts w:ascii="宋体" w:hAnsi="宋体"/>
          <w:sz w:val="32"/>
        </w:rPr>
      </w:pPr>
      <w:r>
        <w:rPr>
          <w:rFonts w:hint="eastAsia" w:ascii="宋体" w:hAnsi="宋体"/>
          <w:b/>
          <w:sz w:val="36"/>
          <w:szCs w:val="36"/>
        </w:rPr>
        <w:t>采购编号：</w:t>
      </w:r>
      <w:r>
        <w:rPr>
          <w:rFonts w:hint="eastAsia" w:ascii="宋体" w:hAnsi="宋体"/>
          <w:bCs/>
          <w:sz w:val="24"/>
          <w:u w:val="single"/>
        </w:rPr>
        <w:t xml:space="preserve">     </w:t>
      </w:r>
      <w:r>
        <w:rPr>
          <w:rFonts w:hint="eastAsia" w:ascii="宋体" w:hAnsi="宋体"/>
          <w:bCs/>
          <w:sz w:val="36"/>
          <w:szCs w:val="36"/>
          <w:u w:val="single"/>
        </w:rPr>
        <w:t xml:space="preserve"> QZTCJWC202300</w:t>
      </w:r>
      <w:r>
        <w:rPr>
          <w:rFonts w:hint="eastAsia" w:ascii="宋体" w:hAnsi="宋体"/>
          <w:bCs/>
          <w:sz w:val="36"/>
          <w:szCs w:val="36"/>
          <w:u w:val="single"/>
          <w:lang w:val="en-US" w:eastAsia="zh-CN"/>
        </w:rPr>
        <w:t>2</w:t>
      </w:r>
      <w:r>
        <w:rPr>
          <w:rFonts w:hint="eastAsia" w:ascii="宋体" w:hAnsi="宋体" w:cs="Arial"/>
          <w:b/>
          <w:sz w:val="36"/>
          <w:szCs w:val="36"/>
          <w:u w:val="single"/>
        </w:rPr>
        <w:t xml:space="preserve">                      </w:t>
      </w:r>
    </w:p>
    <w:p>
      <w:pPr>
        <w:ind w:left="2889" w:leftChars="171" w:hanging="2530" w:hangingChars="700"/>
        <w:rPr>
          <w:rFonts w:hint="eastAsia" w:ascii="宋体" w:hAnsi="宋体"/>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sz w:val="36"/>
          <w:szCs w:val="36"/>
          <w:u w:val="single"/>
          <w:lang w:val="en-US" w:eastAsia="zh-CN"/>
        </w:rPr>
        <w:t>泉州师院普通话测试站</w:t>
      </w:r>
      <w:r>
        <w:rPr>
          <w:rFonts w:hint="eastAsia" w:ascii="宋体" w:hAnsi="宋体"/>
          <w:sz w:val="36"/>
          <w:szCs w:val="36"/>
          <w:u w:val="single"/>
        </w:rPr>
        <w:t>国家普通话水平测试</w:t>
      </w:r>
    </w:p>
    <w:p>
      <w:pPr>
        <w:ind w:firstLine="2160" w:firstLineChars="600"/>
        <w:rPr>
          <w:rFonts w:ascii="宋体" w:hAnsi="宋体" w:cs="Arial"/>
          <w:b/>
          <w:sz w:val="36"/>
          <w:szCs w:val="36"/>
          <w:u w:val="single"/>
        </w:rPr>
      </w:pPr>
      <w:r>
        <w:rPr>
          <w:rFonts w:hint="eastAsia" w:ascii="宋体" w:hAnsi="宋体"/>
          <w:sz w:val="36"/>
          <w:szCs w:val="36"/>
          <w:u w:val="single"/>
        </w:rPr>
        <w:t>信息采集系统设备</w:t>
      </w:r>
      <w:r>
        <w:rPr>
          <w:rFonts w:hint="eastAsia" w:ascii="宋体" w:hAnsi="宋体"/>
          <w:b/>
          <w:sz w:val="36"/>
          <w:szCs w:val="36"/>
          <w:u w:val="single"/>
        </w:rPr>
        <w:t xml:space="preserve">                        </w:t>
      </w:r>
    </w:p>
    <w:p>
      <w:pPr>
        <w:rPr>
          <w:rFonts w:ascii="宋体" w:hAnsi="宋体"/>
          <w:sz w:val="24"/>
        </w:rPr>
      </w:pPr>
    </w:p>
    <w:p>
      <w:pPr>
        <w:rPr>
          <w:rFonts w:ascii="宋体" w:hAnsi="宋体"/>
        </w:rPr>
      </w:pPr>
    </w:p>
    <w:p>
      <w:pPr>
        <w:rPr>
          <w:rFonts w:ascii="宋体" w:hAnsi="宋体"/>
        </w:rPr>
      </w:pPr>
    </w:p>
    <w:p>
      <w:pPr>
        <w:rPr>
          <w:rFonts w:ascii="宋体" w:hAnsi="宋体"/>
        </w:rPr>
      </w:pPr>
    </w:p>
    <w:p>
      <w:pPr>
        <w:ind w:firstLine="1792" w:firstLineChars="498"/>
        <w:rPr>
          <w:rFonts w:ascii="宋体" w:hAnsi="宋体"/>
          <w:sz w:val="36"/>
        </w:rPr>
      </w:pPr>
    </w:p>
    <w:p>
      <w:pPr>
        <w:pStyle w:val="13"/>
      </w:pPr>
    </w:p>
    <w:p>
      <w:pPr>
        <w:rPr>
          <w:rFonts w:ascii="宋体" w:hAnsi="宋体"/>
          <w:sz w:val="36"/>
        </w:rPr>
      </w:pPr>
    </w:p>
    <w:p>
      <w:pPr>
        <w:ind w:firstLine="3253" w:firstLineChars="900"/>
        <w:jc w:val="left"/>
        <w:rPr>
          <w:rFonts w:ascii="宋体" w:hAnsi="宋体"/>
          <w:b/>
          <w:sz w:val="36"/>
          <w:szCs w:val="36"/>
          <w:u w:val="single"/>
        </w:rPr>
      </w:pPr>
      <w:r>
        <w:rPr>
          <w:rFonts w:hint="eastAsia" w:ascii="宋体" w:hAnsi="宋体"/>
          <w:b/>
          <w:sz w:val="36"/>
          <w:szCs w:val="36"/>
        </w:rPr>
        <w:t>泉州师范学院教务处</w:t>
      </w:r>
    </w:p>
    <w:p>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2023年</w:t>
      </w:r>
      <w:r>
        <w:rPr>
          <w:rFonts w:hint="eastAsia" w:ascii="宋体" w:hAnsi="宋体"/>
          <w:b/>
          <w:sz w:val="36"/>
          <w:szCs w:val="36"/>
          <w:lang w:val="en-US" w:eastAsia="zh-CN"/>
        </w:rPr>
        <w:t>3</w:t>
      </w:r>
      <w:r>
        <w:rPr>
          <w:rFonts w:hint="eastAsia" w:ascii="宋体" w:hAnsi="宋体"/>
          <w:b/>
          <w:sz w:val="36"/>
          <w:szCs w:val="36"/>
        </w:rPr>
        <w:t>月</w:t>
      </w:r>
    </w:p>
    <w:p>
      <w:pPr>
        <w:pStyle w:val="2"/>
      </w:pPr>
    </w:p>
    <w:p>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pPr>
            <w:jc w:val="center"/>
          </w:pPr>
        </w:p>
        <w:p>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pPr>
        <w:spacing w:line="440" w:lineRule="exact"/>
        <w:rPr>
          <w:rFonts w:ascii="宋体" w:hAnsi="宋体" w:cs="宋体"/>
          <w:sz w:val="28"/>
          <w:szCs w:val="28"/>
        </w:rPr>
      </w:pPr>
    </w:p>
    <w:p/>
    <w:p/>
    <w:p/>
    <w:p/>
    <w:p/>
    <w:p/>
    <w:p/>
    <w:p/>
    <w:p>
      <w:pPr>
        <w:pStyle w:val="13"/>
      </w:pPr>
    </w:p>
    <w:p/>
    <w:p>
      <w:pPr>
        <w:pStyle w:val="13"/>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spacing w:before="0" w:after="0" w:line="360" w:lineRule="auto"/>
        <w:jc w:val="center"/>
        <w:rPr>
          <w:rFonts w:ascii="宋体" w:hAnsi="宋体" w:eastAsia="宋体"/>
          <w:sz w:val="36"/>
          <w:szCs w:val="36"/>
        </w:rPr>
      </w:pPr>
      <w:bookmarkStart w:id="0" w:name="_Toc10914"/>
      <w:bookmarkStart w:id="1" w:name="_Toc134733479"/>
      <w:bookmarkStart w:id="2" w:name="_Toc18223"/>
      <w:bookmarkStart w:id="3" w:name="_Toc9763"/>
      <w:bookmarkStart w:id="4" w:name="_Toc26208"/>
      <w:r>
        <w:rPr>
          <w:rFonts w:hint="eastAsia" w:ascii="宋体" w:hAnsi="宋体" w:eastAsia="宋体"/>
          <w:sz w:val="36"/>
          <w:szCs w:val="36"/>
        </w:rPr>
        <w:t>第一部分    询价邀请</w:t>
      </w:r>
      <w:bookmarkEnd w:id="0"/>
      <w:bookmarkEnd w:id="1"/>
      <w:bookmarkEnd w:id="2"/>
      <w:bookmarkEnd w:id="3"/>
      <w:bookmarkEnd w:id="4"/>
    </w:p>
    <w:p>
      <w:pPr>
        <w:pStyle w:val="13"/>
        <w:spacing w:line="400" w:lineRule="exact"/>
        <w:ind w:firstLine="480" w:firstLineChars="200"/>
        <w:jc w:val="left"/>
        <w:rPr>
          <w:i w:val="0"/>
          <w:iCs w:val="0"/>
          <w:sz w:val="24"/>
          <w:szCs w:val="24"/>
        </w:rPr>
      </w:pPr>
      <w:bookmarkStart w:id="5" w:name="_Toc35742634"/>
      <w:bookmarkStart w:id="6" w:name="_Toc35107772"/>
      <w:bookmarkStart w:id="7" w:name="_Toc93397582"/>
      <w:bookmarkStart w:id="8" w:name="_Toc425276503"/>
      <w:bookmarkStart w:id="9" w:name="_Toc3785637"/>
      <w:bookmarkStart w:id="10" w:name="_Toc60130052"/>
      <w:bookmarkStart w:id="11" w:name="_Toc54513051"/>
      <w:bookmarkStart w:id="12" w:name="_Toc35068743"/>
      <w:bookmarkStart w:id="13" w:name="_Toc33953164"/>
      <w:bookmarkStart w:id="14" w:name="_Toc35599967"/>
      <w:bookmarkStart w:id="15" w:name="_Toc40761347"/>
      <w:bookmarkStart w:id="16" w:name="_Toc108257397"/>
      <w:bookmarkStart w:id="17" w:name="_Toc108257466"/>
      <w:bookmarkStart w:id="18" w:name="_Toc3785675"/>
      <w:bookmarkStart w:id="19" w:name="_Toc105389203"/>
      <w:bookmarkStart w:id="20" w:name="_Toc34789935"/>
      <w:bookmarkStart w:id="21" w:name="_Toc35622007"/>
      <w:bookmarkStart w:id="22" w:name="_Toc34745149"/>
      <w:bookmarkStart w:id="23" w:name="_Toc35222536"/>
      <w:bookmarkStart w:id="24" w:name="_Toc108257116"/>
      <w:bookmarkStart w:id="25" w:name="_Toc3785461"/>
      <w:bookmarkStart w:id="26" w:name="_Toc108257590"/>
      <w:bookmarkStart w:id="27" w:name="_Toc98672988"/>
      <w:bookmarkStart w:id="28" w:name="_Toc36123671"/>
      <w:bookmarkStart w:id="29" w:name="_Toc3785513"/>
      <w:bookmarkStart w:id="30" w:name="_Toc108260365"/>
      <w:bookmarkStart w:id="31" w:name="_Toc53335577"/>
      <w:bookmarkStart w:id="32" w:name="_Toc35941127"/>
      <w:bookmarkStart w:id="33" w:name="_Toc35071897"/>
      <w:bookmarkStart w:id="34" w:name="_Toc34703823"/>
      <w:bookmarkStart w:id="35" w:name="_Toc36146204"/>
      <w:bookmarkStart w:id="36" w:name="_Toc33775520"/>
      <w:bookmarkStart w:id="37" w:name="_Toc87857945"/>
      <w:bookmarkStart w:id="38" w:name="_Toc53570175"/>
      <w:bookmarkStart w:id="39" w:name="_Toc34664278"/>
      <w:bookmarkStart w:id="40" w:name="_Toc98731630"/>
      <w:bookmarkStart w:id="41" w:name="_Toc93397984"/>
      <w:r>
        <w:rPr>
          <w:rFonts w:hint="eastAsia" w:ascii="宋体" w:hAnsi="宋体"/>
          <w:i w:val="0"/>
          <w:iCs w:val="0"/>
          <w:sz w:val="24"/>
          <w:szCs w:val="24"/>
          <w:u w:val="single"/>
        </w:rPr>
        <w:t xml:space="preserve"> 泉州师范学院教务处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QZTCJWC202300</w:t>
      </w:r>
      <w:r>
        <w:rPr>
          <w:rFonts w:hint="eastAsia" w:ascii="宋体" w:hAnsi="宋体"/>
          <w:bCs/>
          <w:sz w:val="24"/>
          <w:u w:val="single"/>
          <w:lang w:val="en-US" w:eastAsia="zh-CN"/>
        </w:rPr>
        <w:t>2</w:t>
      </w:r>
      <w:r>
        <w:rPr>
          <w:rFonts w:hint="eastAsia" w:ascii="宋体" w:hAnsi="宋体"/>
          <w:bCs/>
          <w:sz w:val="24"/>
          <w:u w:val="single"/>
        </w:rPr>
        <w:t xml:space="preserve">                           </w:t>
      </w:r>
    </w:p>
    <w:p>
      <w:pPr>
        <w:spacing w:line="400" w:lineRule="exact"/>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bCs/>
          <w:sz w:val="24"/>
          <w:u w:val="single"/>
          <w:lang w:val="en-US" w:eastAsia="zh-CN"/>
        </w:rPr>
        <w:t>泉州师院普通话测试站</w:t>
      </w:r>
      <w:r>
        <w:rPr>
          <w:rFonts w:hint="eastAsia" w:ascii="宋体" w:hAnsi="宋体"/>
          <w:sz w:val="24"/>
          <w:u w:val="single"/>
        </w:rPr>
        <w:t>国家普通话水平测试信息采集系统设备</w:t>
      </w:r>
      <w:r>
        <w:rPr>
          <w:rFonts w:hint="eastAsia" w:ascii="宋体" w:hAnsi="宋体"/>
          <w:bCs/>
          <w:sz w:val="24"/>
          <w:u w:val="single"/>
        </w:rPr>
        <w:t xml:space="preserve">   </w:t>
      </w:r>
    </w:p>
    <w:p>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4</w:t>
      </w:r>
      <w:r>
        <w:rPr>
          <w:rFonts w:hint="eastAsia" w:ascii="宋体" w:hAnsi="宋体" w:eastAsia="宋体" w:cs="Times New Roman"/>
          <w:color w:val="auto"/>
          <w:kern w:val="2"/>
          <w:u w:val="single"/>
          <w:lang w:val="en-US" w:eastAsia="zh-CN"/>
        </w:rPr>
        <w:t>3460</w:t>
      </w:r>
      <w:r>
        <w:rPr>
          <w:rFonts w:hint="eastAsia" w:ascii="宋体" w:hAnsi="宋体" w:eastAsia="宋体" w:cs="Times New Roman"/>
          <w:color w:val="auto"/>
          <w:kern w:val="2"/>
          <w:u w:val="single"/>
        </w:rPr>
        <w:t xml:space="preserve">元                                    </w:t>
      </w:r>
    </w:p>
    <w:p>
      <w:pPr>
        <w:spacing w:after="156" w:afterLines="50" w:line="440" w:lineRule="exact"/>
        <w:ind w:firstLine="480" w:firstLineChars="200"/>
        <w:outlineLvl w:val="0"/>
        <w:rPr>
          <w:rFonts w:ascii="宋体" w:hAnsi="宋体"/>
          <w:sz w:val="24"/>
        </w:rPr>
      </w:pPr>
      <w:bookmarkStart w:id="42" w:name="_Toc26626"/>
      <w:bookmarkStart w:id="43" w:name="_Toc13469"/>
      <w:bookmarkStart w:id="44" w:name="_Toc491700004"/>
      <w:r>
        <w:rPr>
          <w:rFonts w:hint="eastAsia" w:ascii="宋体" w:hAnsi="宋体"/>
          <w:sz w:val="24"/>
        </w:rPr>
        <w:t>采购需求</w:t>
      </w:r>
      <w:bookmarkEnd w:id="42"/>
      <w:bookmarkEnd w:id="43"/>
      <w:bookmarkEnd w:id="44"/>
      <w:r>
        <w:rPr>
          <w:rFonts w:hint="eastAsia" w:ascii="宋体" w:hAnsi="宋体"/>
          <w:sz w:val="24"/>
        </w:rPr>
        <w:t>：</w:t>
      </w:r>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cs="Times New Roman"/>
                <w:kern w:val="2"/>
                <w:sz w:val="24"/>
                <w:szCs w:val="24"/>
                <w:lang w:val="en-US" w:eastAsia="zh-CN" w:bidi="ar-SA"/>
              </w:rPr>
              <w:t>泉州师院普通话测试站</w:t>
            </w:r>
            <w:r>
              <w:rPr>
                <w:rFonts w:hint="eastAsia" w:ascii="宋体" w:hAnsi="宋体" w:eastAsia="宋体" w:cs="Times New Roman"/>
                <w:kern w:val="2"/>
                <w:sz w:val="24"/>
                <w:szCs w:val="24"/>
                <w:lang w:val="en-US" w:eastAsia="zh-CN" w:bidi="ar-SA"/>
              </w:rPr>
              <w:t>国家普通话水平测试信息采集系统设备</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hint="default" w:ascii="宋体" w:hAnsi="宋体" w:eastAsia="宋体"/>
                <w:lang w:val="en-US" w:eastAsia="zh-CN"/>
              </w:rPr>
            </w:pPr>
            <w:r>
              <w:rPr>
                <w:rFonts w:hint="eastAsia" w:ascii="宋体" w:hAnsi="宋体"/>
                <w:kern w:val="2"/>
              </w:rPr>
              <w:t>4</w:t>
            </w:r>
            <w:r>
              <w:rPr>
                <w:rFonts w:hint="eastAsia" w:ascii="宋体" w:hAnsi="宋体"/>
                <w:kern w:val="2"/>
                <w:lang w:val="en-US" w:eastAsia="zh-CN"/>
              </w:rPr>
              <w:t>3460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2"/>
              <w:widowControl/>
              <w:jc w:val="center"/>
              <w:rPr>
                <w:rFonts w:ascii="宋体" w:hAnsi="宋体"/>
              </w:rPr>
            </w:pPr>
            <w:r>
              <w:rPr>
                <w:rFonts w:hint="eastAsia" w:ascii="宋体" w:hAnsi="宋体"/>
              </w:rPr>
              <w:t>详见询价文件第三部分要求</w:t>
            </w: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宋体" w:hAnsi="宋体"/>
          <w:sz w:val="24"/>
        </w:rPr>
      </w:pPr>
      <w:r>
        <w:rPr>
          <w:rFonts w:hint="eastAsia" w:ascii="宋体" w:hAnsi="宋体"/>
          <w:sz w:val="24"/>
        </w:rPr>
        <w:t>三、提交报价响应文件截止时间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31</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2023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31</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bookmarkStart w:id="102" w:name="_GoBack"/>
      <w:bookmarkEnd w:id="102"/>
    </w:p>
    <w:p>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泉州师范学院行政楼3</w:t>
      </w:r>
      <w:r>
        <w:rPr>
          <w:rFonts w:hint="eastAsia" w:ascii="宋体" w:hAnsi="宋体"/>
          <w:sz w:val="24"/>
          <w:lang w:val="en-US" w:eastAsia="zh-CN"/>
        </w:rPr>
        <w:t>12</w:t>
      </w:r>
      <w:r>
        <w:rPr>
          <w:rFonts w:hint="eastAsia" w:ascii="宋体" w:hAnsi="宋体"/>
          <w:color w:val="FF0000"/>
          <w:sz w:val="24"/>
        </w:rPr>
        <w:t>。</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pPr>
        <w:spacing w:line="40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lang w:val="en-US" w:eastAsia="zh-CN"/>
        </w:rPr>
        <w:t>张</w:t>
      </w:r>
      <w:r>
        <w:rPr>
          <w:rFonts w:hint="eastAsia" w:ascii="宋体" w:hAnsi="宋体"/>
          <w:sz w:val="24"/>
          <w:u w:val="single"/>
        </w:rPr>
        <w:t xml:space="preserve">老师 </w:t>
      </w:r>
      <w:r>
        <w:rPr>
          <w:rFonts w:hint="eastAsia" w:ascii="宋体" w:hAnsi="宋体"/>
          <w:sz w:val="24"/>
        </w:rPr>
        <w:t>，联系电话：</w:t>
      </w:r>
      <w:r>
        <w:rPr>
          <w:rFonts w:hint="eastAsia" w:ascii="宋体" w:hAnsi="宋体" w:cs="宋体"/>
          <w:sz w:val="24"/>
          <w:u w:val="single"/>
        </w:rPr>
        <w:t xml:space="preserve">  0595-2291950</w:t>
      </w:r>
      <w:r>
        <w:rPr>
          <w:rFonts w:hint="eastAsia" w:ascii="宋体" w:hAnsi="宋体" w:cs="宋体"/>
          <w:sz w:val="24"/>
          <w:u w:val="single"/>
          <w:lang w:val="en-US" w:eastAsia="zh-CN"/>
        </w:rPr>
        <w:t>7</w:t>
      </w:r>
      <w:r>
        <w:rPr>
          <w:rFonts w:hint="eastAsia" w:ascii="宋体" w:hAnsi="宋体" w:cs="宋体"/>
          <w:sz w:val="24"/>
          <w:u w:val="single"/>
        </w:rPr>
        <w:t xml:space="preserve">  </w:t>
      </w:r>
      <w:r>
        <w:rPr>
          <w:rFonts w:hint="eastAsia" w:ascii="宋体" w:hAnsi="宋体" w:cs="宋体"/>
          <w:sz w:val="24"/>
          <w:lang w:val="zh-CN"/>
        </w:rPr>
        <w:t>。</w:t>
      </w:r>
    </w:p>
    <w:p>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7302"/>
      <w:r>
        <w:rPr>
          <w:rFonts w:hint="eastAsia" w:ascii="宋体" w:hAnsi="宋体"/>
          <w:b/>
          <w:sz w:val="36"/>
          <w:szCs w:val="36"/>
        </w:rPr>
        <w:t>第二部分  报价供应商须知</w:t>
      </w:r>
      <w:bookmarkEnd w:id="45"/>
      <w:bookmarkEnd w:id="46"/>
    </w:p>
    <w:p>
      <w:pPr>
        <w:pStyle w:val="13"/>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5"/>
              <w:spacing w:after="0" w:line="440" w:lineRule="exact"/>
              <w:ind w:firstLine="0" w:firstLineChars="0"/>
              <w:rPr>
                <w:rFonts w:ascii="宋体" w:hAnsi="宋体"/>
                <w:sz w:val="24"/>
                <w:u w:val="single"/>
              </w:rPr>
            </w:pPr>
            <w:r>
              <w:rPr>
                <w:rFonts w:hint="eastAsia" w:ascii="宋体" w:hAnsi="宋体"/>
                <w:sz w:val="24"/>
                <w:u w:val="single"/>
              </w:rPr>
              <w:t xml:space="preserve">采购人：泉州师范学院教务处 </w:t>
            </w:r>
          </w:p>
          <w:p>
            <w:pPr>
              <w:pStyle w:val="15"/>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5"/>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5"/>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5"/>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5"/>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3</w:t>
            </w:r>
          </w:p>
        </w:tc>
        <w:tc>
          <w:tcPr>
            <w:tcW w:w="8951" w:type="dxa"/>
            <w:vAlign w:val="center"/>
          </w:tcPr>
          <w:p>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4</w:t>
            </w:r>
          </w:p>
        </w:tc>
        <w:tc>
          <w:tcPr>
            <w:tcW w:w="8951" w:type="dxa"/>
            <w:vAlign w:val="center"/>
          </w:tcPr>
          <w:p>
            <w:pPr>
              <w:spacing w:line="440" w:lineRule="exact"/>
              <w:rPr>
                <w:rFonts w:ascii="宋体" w:hAnsi="宋体"/>
                <w:sz w:val="24"/>
              </w:rPr>
            </w:pPr>
            <w:r>
              <w:rPr>
                <w:rFonts w:hint="eastAsia" w:ascii="宋体" w:hAnsi="宋体"/>
                <w:b/>
                <w:bCs/>
                <w:sz w:val="24"/>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5</w:t>
            </w:r>
          </w:p>
        </w:tc>
        <w:tc>
          <w:tcPr>
            <w:tcW w:w="8951" w:type="dxa"/>
            <w:vAlign w:val="center"/>
          </w:tcPr>
          <w:p>
            <w:pPr>
              <w:spacing w:line="440" w:lineRule="exact"/>
              <w:rPr>
                <w:rFonts w:ascii="宋体" w:hAnsi="宋体"/>
                <w:sz w:val="24"/>
              </w:rPr>
            </w:pPr>
            <w:r>
              <w:rPr>
                <w:rFonts w:hint="eastAsia" w:ascii="宋体" w:hAnsi="宋体"/>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6</w:t>
            </w:r>
          </w:p>
        </w:tc>
        <w:tc>
          <w:tcPr>
            <w:tcW w:w="8951" w:type="dxa"/>
            <w:vAlign w:val="center"/>
          </w:tcPr>
          <w:p>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3"/>
        <w:spacing w:before="120" w:after="120" w:line="440" w:lineRule="exact"/>
        <w:rPr>
          <w:rFonts w:ascii="宋体" w:hAnsi="宋体" w:eastAsia="宋体"/>
          <w:sz w:val="36"/>
          <w:szCs w:val="36"/>
        </w:rPr>
      </w:pPr>
      <w:bookmarkStart w:id="47" w:name="_Toc5918"/>
      <w:bookmarkStart w:id="48" w:name="_Toc4338"/>
      <w:bookmarkStart w:id="49" w:name="_Toc12454"/>
    </w:p>
    <w:p/>
    <w:bookmarkEnd w:id="47"/>
    <w:bookmarkEnd w:id="48"/>
    <w:bookmarkEnd w:id="49"/>
    <w:p>
      <w:pPr>
        <w:pStyle w:val="4"/>
        <w:spacing w:before="0" w:after="0" w:line="440" w:lineRule="exact"/>
        <w:jc w:val="left"/>
        <w:rPr>
          <w:rFonts w:ascii="宋体" w:hAnsi="宋体" w:eastAsia="宋体"/>
          <w:sz w:val="24"/>
        </w:rPr>
      </w:pPr>
      <w:bookmarkStart w:id="50" w:name="_Toc1931"/>
      <w:bookmarkStart w:id="51" w:name="_Toc34"/>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询价内容及要求</w:t>
      </w:r>
    </w:p>
    <w:p>
      <w:pPr>
        <w:pStyle w:val="2"/>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20"/>
        <w:tblpPr w:leftFromText="180" w:rightFromText="180" w:vertAnchor="page" w:horzAnchor="page" w:tblpXSpec="center" w:tblpY="2361"/>
        <w:tblOverlap w:val="never"/>
        <w:tblW w:w="90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765"/>
        <w:gridCol w:w="2049"/>
        <w:gridCol w:w="5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1194" w:type="dxa"/>
            <w:tcBorders>
              <w:left w:val="single" w:color="000000" w:sz="8" w:space="0"/>
              <w:right w:val="single" w:color="000000" w:sz="8" w:space="0"/>
            </w:tcBorders>
            <w:vAlign w:val="center"/>
          </w:tcPr>
          <w:p>
            <w:pPr>
              <w:rPr>
                <w:rFonts w:ascii="宋体" w:hAnsi="宋体" w:cs="宋体"/>
                <w:spacing w:val="1"/>
                <w:sz w:val="24"/>
              </w:rPr>
            </w:pPr>
          </w:p>
        </w:tc>
        <w:tc>
          <w:tcPr>
            <w:tcW w:w="765"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序号</w:t>
            </w:r>
          </w:p>
        </w:tc>
        <w:tc>
          <w:tcPr>
            <w:tcW w:w="2049"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货物名称</w:t>
            </w:r>
          </w:p>
        </w:tc>
        <w:tc>
          <w:tcPr>
            <w:tcW w:w="5016" w:type="dxa"/>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主要技术参数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194" w:type="dxa"/>
            <w:vMerge w:val="restart"/>
            <w:tcBorders>
              <w:left w:val="single" w:color="000000" w:sz="8" w:space="0"/>
              <w:right w:val="single" w:color="000000" w:sz="8" w:space="0"/>
            </w:tcBorders>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b/>
                <w:bCs/>
                <w:i w:val="0"/>
                <w:iCs w:val="0"/>
                <w:color w:val="000000"/>
                <w:kern w:val="0"/>
                <w:sz w:val="24"/>
                <w:szCs w:val="24"/>
                <w:u w:val="none"/>
                <w:lang w:val="en-US" w:eastAsia="zh-CN" w:bidi="ar"/>
              </w:rPr>
              <w:t>硬件部分</w:t>
            </w: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1</w:t>
            </w:r>
          </w:p>
        </w:tc>
        <w:tc>
          <w:tcPr>
            <w:tcW w:w="2049" w:type="dxa"/>
            <w:tcBorders>
              <w:left w:val="single" w:color="000000" w:sz="8" w:space="0"/>
              <w:right w:val="single" w:color="000000" w:sz="8" w:space="0"/>
            </w:tcBorders>
            <w:vAlign w:val="center"/>
          </w:tcPr>
          <w:p>
            <w:pPr>
              <w:spacing w:line="440" w:lineRule="exact"/>
              <w:rPr>
                <w:rFonts w:hint="eastAsia" w:hAnsi="宋体"/>
                <w:sz w:val="24"/>
              </w:rPr>
            </w:pPr>
            <w:r>
              <w:rPr>
                <w:rFonts w:hint="eastAsia" w:hAnsi="宋体"/>
                <w:sz w:val="24"/>
                <w:lang w:val="en-US" w:eastAsia="zh-CN"/>
              </w:rPr>
              <w:t>二代身份证识别器</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射频技术:符合ISO14443 Type B标准；操作系统： WIN98/2000/XP/Win7/NT/UNIX；工作频率： 13.56MHz±7kHz ；读卡距离： 0-50mm；产品接口： 符合USB2.0标准 ；采集信息能上传国家普通话水平测试信息采集系统。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3" w:hRule="atLeast"/>
          <w:jc w:val="center"/>
        </w:trPr>
        <w:tc>
          <w:tcPr>
            <w:tcW w:w="1194" w:type="dxa"/>
            <w:vMerge w:val="continue"/>
            <w:tcBorders>
              <w:left w:val="single" w:color="000000" w:sz="8" w:space="0"/>
              <w:right w:val="single" w:color="000000" w:sz="8" w:space="0"/>
            </w:tcBorders>
            <w:vAlign w:val="center"/>
          </w:tcPr>
          <w:p>
            <w:pPr>
              <w:jc w:val="center"/>
              <w:rPr>
                <w:rFonts w:ascii="宋体" w:hAnsi="宋体" w:cs="宋体"/>
                <w:spacing w:val="1"/>
                <w:sz w:val="24"/>
              </w:rPr>
            </w:pP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2</w:t>
            </w:r>
          </w:p>
        </w:tc>
        <w:tc>
          <w:tcPr>
            <w:tcW w:w="2049" w:type="dxa"/>
            <w:tcBorders>
              <w:left w:val="single" w:color="000000" w:sz="8" w:space="0"/>
              <w:right w:val="single" w:color="000000" w:sz="8" w:space="0"/>
            </w:tcBorders>
            <w:vAlign w:val="center"/>
          </w:tcPr>
          <w:p>
            <w:pPr>
              <w:spacing w:line="440" w:lineRule="exact"/>
              <w:rPr>
                <w:rFonts w:hint="eastAsia" w:hAnsi="宋体"/>
                <w:sz w:val="24"/>
              </w:rPr>
            </w:pPr>
            <w:r>
              <w:rPr>
                <w:rFonts w:hint="eastAsia" w:hAnsi="宋体"/>
                <w:sz w:val="24"/>
                <w:lang w:val="en-US" w:eastAsia="zh-CN"/>
              </w:rPr>
              <w:t>照片采集高清摄像头</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高清镜头，自动对焦，4K分辨率，最大帧频：30FPS；接口类型：USB2.0（兼容USB3.0）；多功能底座，可连接通用摄影三脚架，系统支持 Win10，Win7，WinXP；采集的照片能上传国家普通话水平测试信息采集系统。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jc w:val="center"/>
        </w:trPr>
        <w:tc>
          <w:tcPr>
            <w:tcW w:w="1194" w:type="dxa"/>
            <w:vMerge w:val="continue"/>
            <w:tcBorders>
              <w:left w:val="single" w:color="000000" w:sz="8" w:space="0"/>
              <w:right w:val="single" w:color="000000" w:sz="8" w:space="0"/>
            </w:tcBorders>
            <w:vAlign w:val="center"/>
          </w:tcPr>
          <w:p>
            <w:pPr>
              <w:jc w:val="center"/>
              <w:rPr>
                <w:rFonts w:ascii="宋体" w:hAnsi="宋体" w:cs="宋体"/>
                <w:spacing w:val="1"/>
                <w:sz w:val="24"/>
              </w:rPr>
            </w:pP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3</w:t>
            </w:r>
          </w:p>
        </w:tc>
        <w:tc>
          <w:tcPr>
            <w:tcW w:w="2049" w:type="dxa"/>
            <w:tcBorders>
              <w:left w:val="single" w:color="000000" w:sz="8" w:space="0"/>
              <w:right w:val="single" w:color="000000" w:sz="8" w:space="0"/>
            </w:tcBorders>
            <w:vAlign w:val="center"/>
          </w:tcPr>
          <w:p>
            <w:pPr>
              <w:spacing w:line="440" w:lineRule="exact"/>
              <w:rPr>
                <w:rFonts w:hint="eastAsia" w:hAnsi="宋体"/>
                <w:sz w:val="24"/>
              </w:rPr>
            </w:pPr>
            <w:r>
              <w:rPr>
                <w:rFonts w:hint="eastAsia" w:hAnsi="宋体"/>
                <w:sz w:val="24"/>
                <w:lang w:val="en-US" w:eastAsia="zh-CN"/>
              </w:rPr>
              <w:t>人脸识别摄像头</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高清镜头，人脸识别算法，面部影像增强，最大帧频：30FPS；接口类型：USB2.0（兼容USB3.0）；系统支持 Win10，Win7，WinXP；可通过面部识别登录考试系统。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jc w:val="center"/>
        </w:trPr>
        <w:tc>
          <w:tcPr>
            <w:tcW w:w="1194" w:type="dxa"/>
            <w:vMerge w:val="continue"/>
            <w:tcBorders>
              <w:left w:val="single" w:color="000000" w:sz="8" w:space="0"/>
              <w:right w:val="single" w:color="000000" w:sz="8" w:space="0"/>
            </w:tcBorders>
            <w:vAlign w:val="center"/>
          </w:tcPr>
          <w:p>
            <w:pPr>
              <w:jc w:val="center"/>
              <w:rPr>
                <w:rFonts w:ascii="宋体" w:hAnsi="宋体" w:cs="宋体"/>
                <w:spacing w:val="2"/>
                <w:sz w:val="24"/>
              </w:rPr>
            </w:pP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4</w:t>
            </w:r>
          </w:p>
        </w:tc>
        <w:tc>
          <w:tcPr>
            <w:tcW w:w="2049" w:type="dxa"/>
            <w:tcBorders>
              <w:left w:val="single" w:color="000000" w:sz="8" w:space="0"/>
              <w:right w:val="single" w:color="000000" w:sz="8" w:space="0"/>
            </w:tcBorders>
            <w:vAlign w:val="center"/>
          </w:tcPr>
          <w:p>
            <w:pPr>
              <w:spacing w:line="440" w:lineRule="exact"/>
              <w:rPr>
                <w:rFonts w:hint="eastAsia" w:hAnsi="宋体"/>
                <w:sz w:val="24"/>
              </w:rPr>
            </w:pPr>
            <w:r>
              <w:rPr>
                <w:rFonts w:hint="eastAsia" w:hAnsi="宋体"/>
                <w:sz w:val="24"/>
                <w:lang w:val="en-US" w:eastAsia="zh-CN"/>
              </w:rPr>
              <w:t>单头灯箱、幕布</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反光颗粒柔光布；铝合金支架；适用于人像静物补光；单头灯箱高度支持调节；配合信息采集系统进行人像信息采集；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jc w:val="center"/>
        </w:trPr>
        <w:tc>
          <w:tcPr>
            <w:tcW w:w="1194" w:type="dxa"/>
            <w:vMerge w:val="continue"/>
            <w:tcBorders>
              <w:left w:val="single" w:color="000000" w:sz="8" w:space="0"/>
              <w:right w:val="single" w:color="000000" w:sz="8" w:space="0"/>
            </w:tcBorders>
            <w:vAlign w:val="center"/>
          </w:tcPr>
          <w:p>
            <w:pPr>
              <w:jc w:val="center"/>
              <w:rPr>
                <w:rFonts w:ascii="宋体" w:hAnsi="宋体" w:cs="宋体"/>
                <w:spacing w:val="2"/>
                <w:sz w:val="24"/>
              </w:rPr>
            </w:pP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5</w:t>
            </w:r>
          </w:p>
        </w:tc>
        <w:tc>
          <w:tcPr>
            <w:tcW w:w="2049"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 xml:space="preserve">  三脚架</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直径16.8mm；最高工作高度1060mm，最低工作高度350mm，收缩高度355mm;采用优质铝合金。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1194" w:type="dxa"/>
            <w:tcBorders>
              <w:left w:val="single" w:color="000000" w:sz="8" w:space="0"/>
              <w:right w:val="single" w:color="000000" w:sz="8" w:space="0"/>
            </w:tcBorders>
            <w:vAlign w:val="center"/>
          </w:tcPr>
          <w:p>
            <w:pPr>
              <w:keepNext w:val="0"/>
              <w:keepLines w:val="0"/>
              <w:widowControl/>
              <w:suppressLineNumbers w:val="0"/>
              <w:jc w:val="left"/>
              <w:textAlignment w:val="center"/>
              <w:rPr>
                <w:rFonts w:ascii="宋体" w:hAnsi="宋体" w:cs="宋体"/>
                <w:spacing w:val="1"/>
                <w:sz w:val="24"/>
              </w:rPr>
            </w:pPr>
            <w:r>
              <w:rPr>
                <w:rFonts w:hint="eastAsia" w:ascii="宋体" w:hAnsi="宋体" w:eastAsia="宋体" w:cs="宋体"/>
                <w:b/>
                <w:bCs/>
                <w:i w:val="0"/>
                <w:iCs w:val="0"/>
                <w:color w:val="000000"/>
                <w:kern w:val="0"/>
                <w:sz w:val="24"/>
                <w:szCs w:val="24"/>
                <w:u w:val="none"/>
                <w:lang w:val="en-US" w:eastAsia="zh-CN" w:bidi="ar"/>
              </w:rPr>
              <w:t>软件部分</w:t>
            </w:r>
          </w:p>
        </w:tc>
        <w:tc>
          <w:tcPr>
            <w:tcW w:w="765"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6</w:t>
            </w:r>
          </w:p>
        </w:tc>
        <w:tc>
          <w:tcPr>
            <w:tcW w:w="2049" w:type="dxa"/>
            <w:tcBorders>
              <w:left w:val="single" w:color="000000" w:sz="8" w:space="0"/>
              <w:right w:val="single" w:color="000000" w:sz="8" w:space="0"/>
            </w:tcBorders>
            <w:vAlign w:val="center"/>
          </w:tcPr>
          <w:p>
            <w:pPr>
              <w:spacing w:line="440" w:lineRule="exact"/>
              <w:rPr>
                <w:rFonts w:hint="eastAsia" w:hAnsi="宋体"/>
                <w:sz w:val="24"/>
              </w:rPr>
            </w:pPr>
            <w:r>
              <w:rPr>
                <w:rFonts w:hint="eastAsia" w:hAnsi="宋体"/>
                <w:sz w:val="24"/>
                <w:lang w:val="en-US" w:eastAsia="zh-CN"/>
              </w:rPr>
              <w:t>国家普通话水平测试信息采集系统</w:t>
            </w:r>
            <w:r>
              <w:rPr>
                <w:rFonts w:hint="eastAsia" w:hAnsi="宋体"/>
                <w:sz w:val="24"/>
                <w:lang w:val="en-US" w:eastAsia="zh-CN"/>
              </w:rPr>
              <w:br w:type="textWrapping"/>
            </w:r>
            <w:r>
              <w:rPr>
                <w:rFonts w:hint="eastAsia" w:hAnsi="宋体"/>
                <w:sz w:val="24"/>
                <w:lang w:val="en-US" w:eastAsia="zh-CN"/>
              </w:rPr>
              <w:t>（讯飞启明，V2.0）</w:t>
            </w:r>
          </w:p>
        </w:tc>
        <w:tc>
          <w:tcPr>
            <w:tcW w:w="5016" w:type="dxa"/>
            <w:tcBorders>
              <w:left w:val="single" w:color="000000" w:sz="8" w:space="0"/>
              <w:right w:val="single" w:color="000000" w:sz="8" w:space="0"/>
            </w:tcBorders>
            <w:vAlign w:val="center"/>
          </w:tcPr>
          <w:p>
            <w:pPr>
              <w:spacing w:line="440" w:lineRule="exact"/>
              <w:ind w:firstLine="480" w:firstLineChars="200"/>
              <w:rPr>
                <w:rFonts w:hint="eastAsia" w:hAnsi="宋体"/>
                <w:sz w:val="24"/>
              </w:rPr>
            </w:pPr>
            <w:r>
              <w:rPr>
                <w:rFonts w:hint="eastAsia" w:hAnsi="宋体"/>
                <w:sz w:val="24"/>
                <w:lang w:val="en-US" w:eastAsia="zh-CN"/>
              </w:rPr>
              <w:t>系统通过软硬件结合的方式支持二代身份证自动识别，具备照片采集、指纹采集、抽签等功能;系统可通过现场采集照片方式，将所采集照片直接作为证书照片使用；与国家普通话智能测试系统对接，实现考生通过人脸登录考试系统；</w:t>
            </w:r>
            <w:r>
              <w:rPr>
                <w:rFonts w:hint="eastAsia" w:hAnsi="宋体"/>
                <w:sz w:val="24"/>
                <w:lang w:val="en-US" w:eastAsia="zh-CN"/>
              </w:rPr>
              <w:br w:type="textWrapping"/>
            </w:r>
            <w:r>
              <w:rPr>
                <w:rFonts w:hint="eastAsia" w:hAnsi="宋体"/>
                <w:sz w:val="24"/>
                <w:lang w:val="en-US" w:eastAsia="zh-CN"/>
              </w:rPr>
              <w:t>应用平台：Win2003/WinXP/Win7/NT/Win8/Win10</w:t>
            </w:r>
          </w:p>
        </w:tc>
      </w:tr>
    </w:tbl>
    <w:p>
      <w:pPr>
        <w:pStyle w:val="2"/>
        <w:rPr>
          <w:rFonts w:ascii="宋体" w:hAnsi="宋体" w:eastAsia="宋体" w:cs="Times New Roman"/>
          <w:b/>
          <w:color w:val="auto"/>
        </w:rPr>
      </w:pPr>
    </w:p>
    <w:p>
      <w:pPr>
        <w:pStyle w:val="2"/>
        <w:rPr>
          <w:rFonts w:hint="eastAsia" w:ascii="宋体" w:hAnsi="宋体" w:eastAsia="宋体" w:cs="Times New Roman"/>
          <w:b/>
          <w:color w:val="auto"/>
        </w:rPr>
      </w:pPr>
    </w:p>
    <w:p>
      <w:pPr>
        <w:pStyle w:val="2"/>
        <w:rPr>
          <w:rFonts w:hint="eastAsia" w:ascii="宋体" w:hAnsi="宋体" w:eastAsia="宋体" w:cs="Times New Roman"/>
          <w:b/>
          <w:color w:val="auto"/>
        </w:rPr>
      </w:pPr>
    </w:p>
    <w:p>
      <w:pPr>
        <w:pStyle w:val="2"/>
        <w:rPr>
          <w:rFonts w:ascii="宋体" w:hAnsi="宋体"/>
          <w:b/>
          <w:color w:val="auto"/>
        </w:rPr>
      </w:pPr>
      <w:r>
        <w:rPr>
          <w:rFonts w:hint="eastAsia" w:ascii="宋体" w:hAnsi="宋体" w:eastAsia="宋体" w:cs="Times New Roman"/>
          <w:b/>
          <w:color w:val="auto"/>
        </w:rPr>
        <w:t>二、售后服务要求（可根据项目实际调整）</w:t>
      </w:r>
    </w:p>
    <w:p>
      <w:pPr>
        <w:spacing w:line="440" w:lineRule="exact"/>
        <w:ind w:firstLine="480" w:firstLineChars="200"/>
        <w:rPr>
          <w:rFonts w:hAnsi="宋体"/>
          <w:sz w:val="24"/>
        </w:rPr>
      </w:pPr>
      <w:r>
        <w:rPr>
          <w:rFonts w:hint="eastAsia" w:hAnsi="宋体"/>
          <w:sz w:val="24"/>
        </w:rPr>
        <w:t>（一）投标人对提供的服务，因产品及服务质量、或知识产权纠纷等问题，必须提供包换和包退等服务。</w:t>
      </w:r>
    </w:p>
    <w:p>
      <w:pPr>
        <w:spacing w:line="440" w:lineRule="exact"/>
        <w:ind w:firstLine="480" w:firstLineChars="200"/>
        <w:rPr>
          <w:rFonts w:hAnsi="宋体"/>
          <w:sz w:val="24"/>
        </w:rPr>
      </w:pPr>
      <w:r>
        <w:rPr>
          <w:rFonts w:hint="eastAsia" w:hAnsi="宋体"/>
          <w:sz w:val="24"/>
        </w:rPr>
        <w:t>（二）履行所承诺的其他服务条款。</w:t>
      </w:r>
    </w:p>
    <w:p>
      <w:pPr>
        <w:spacing w:line="440" w:lineRule="exact"/>
        <w:rPr>
          <w:rFonts w:ascii="宋体" w:hAnsi="宋体"/>
          <w:b/>
          <w:bCs/>
          <w:sz w:val="24"/>
        </w:rPr>
      </w:pPr>
      <w:bookmarkStart w:id="52" w:name="_Toc394319916"/>
      <w:bookmarkStart w:id="53" w:name="_Toc358109805"/>
      <w:bookmarkStart w:id="54" w:name="_Toc478753855"/>
      <w:bookmarkStart w:id="55" w:name="_Toc425276504"/>
      <w:bookmarkStart w:id="56" w:name="_Toc57451666"/>
      <w:bookmarkStart w:id="57" w:name="_Toc416379639"/>
      <w:r>
        <w:rPr>
          <w:rFonts w:hint="eastAsia" w:ascii="宋体" w:hAnsi="宋体"/>
          <w:b/>
          <w:bCs/>
          <w:sz w:val="24"/>
        </w:rPr>
        <w:t>三、项目验收（可根据项目实际调整）</w:t>
      </w:r>
    </w:p>
    <w:bookmarkEnd w:id="52"/>
    <w:bookmarkEnd w:id="53"/>
    <w:p>
      <w:pPr>
        <w:spacing w:line="440" w:lineRule="exact"/>
        <w:ind w:firstLine="480" w:firstLineChars="200"/>
        <w:rPr>
          <w:rFonts w:hAnsi="宋体"/>
          <w:sz w:val="24"/>
        </w:rPr>
      </w:pPr>
      <w:bookmarkStart w:id="58" w:name="_Toc430269118"/>
      <w:bookmarkStart w:id="59" w:name="_Toc285393068"/>
      <w:bookmarkStart w:id="60" w:name="_Toc358109807"/>
      <w:bookmarkStart w:id="61" w:name="_Toc491700052"/>
      <w:bookmarkStart w:id="62" w:name="_Toc394319918"/>
      <w:bookmarkStart w:id="63" w:name="_Toc430269287"/>
      <w:bookmarkStart w:id="64" w:name="_Toc394319917"/>
      <w:bookmarkStart w:id="65" w:name="_Toc358109806"/>
      <w:r>
        <w:rPr>
          <w:rFonts w:hint="eastAsia" w:hAnsi="宋体"/>
          <w:sz w:val="24"/>
        </w:rPr>
        <w:t>（一）验收标准</w:t>
      </w:r>
    </w:p>
    <w:p>
      <w:pPr>
        <w:spacing w:line="440" w:lineRule="exact"/>
        <w:ind w:firstLine="480" w:firstLineChars="200"/>
        <w:rPr>
          <w:rFonts w:ascii="宋体" w:cs="宋体"/>
          <w:color w:val="000000"/>
          <w:sz w:val="24"/>
        </w:rPr>
      </w:pPr>
      <w:r>
        <w:rPr>
          <w:rFonts w:hint="eastAsia" w:ascii="宋体" w:cs="宋体"/>
          <w:color w:val="000000"/>
          <w:sz w:val="24"/>
        </w:rPr>
        <w:t>验收标准按产品出厂检验标准、设计文件以及国家和行业验收规范要求及合同中的相关条款进行数量及质量的验收。</w:t>
      </w:r>
    </w:p>
    <w:p>
      <w:pPr>
        <w:spacing w:line="440" w:lineRule="exact"/>
        <w:ind w:firstLine="480" w:firstLineChars="200"/>
        <w:rPr>
          <w:rFonts w:ascii="宋体" w:cs="宋体"/>
          <w:color w:val="000000"/>
          <w:sz w:val="24"/>
        </w:rPr>
      </w:pPr>
      <w:r>
        <w:rPr>
          <w:rFonts w:hint="eastAsia" w:ascii="宋体" w:cs="宋体"/>
          <w:color w:val="000000"/>
          <w:sz w:val="24"/>
        </w:rPr>
        <w:t>（二）验收程序</w:t>
      </w:r>
    </w:p>
    <w:p>
      <w:pPr>
        <w:spacing w:line="440" w:lineRule="exact"/>
        <w:ind w:firstLine="480" w:firstLineChars="200"/>
        <w:rPr>
          <w:rFonts w:ascii="宋体" w:cs="宋体"/>
          <w:color w:val="000000"/>
          <w:sz w:val="24"/>
        </w:rPr>
      </w:pPr>
      <w:r>
        <w:rPr>
          <w:rFonts w:hint="eastAsia" w:ascii="宋体" w:cs="宋体"/>
          <w:color w:val="000000"/>
          <w:sz w:val="24"/>
        </w:rPr>
        <w:t xml:space="preserve">验收程序：货物验收分出厂检验、货到初步验收、安装调试验收三阶段： </w:t>
      </w:r>
    </w:p>
    <w:p>
      <w:pPr>
        <w:spacing w:line="440" w:lineRule="exact"/>
        <w:ind w:firstLine="480" w:firstLineChars="200"/>
        <w:rPr>
          <w:rFonts w:ascii="宋体" w:cs="宋体"/>
          <w:color w:val="000000"/>
          <w:sz w:val="24"/>
        </w:rPr>
      </w:pPr>
      <w:r>
        <w:rPr>
          <w:rFonts w:hint="eastAsia" w:ascii="宋体" w:cs="宋体"/>
          <w:color w:val="000000"/>
          <w:sz w:val="24"/>
        </w:rPr>
        <w:t xml:space="preserve">（一）出厂检验：乙方将提供发货清单和计划，发货计划应经甲方认可后实施。乙方负责所提供产品的出厂检验，保证产品原产地和技术指标的真实性、完整性、合法性；乙方发货前应将清单及发货流程发送给甲方，经甲方确认同意后发货；乙方需在甲方指定地点进行统一交货，并向甲方提供货物制造厂的出厂检验报告。 </w:t>
      </w:r>
    </w:p>
    <w:p>
      <w:pPr>
        <w:spacing w:line="440" w:lineRule="exact"/>
        <w:ind w:firstLine="480" w:firstLineChars="200"/>
        <w:rPr>
          <w:rFonts w:ascii="宋体" w:cs="宋体"/>
          <w:color w:val="000000"/>
          <w:sz w:val="24"/>
        </w:rPr>
      </w:pPr>
      <w:r>
        <w:rPr>
          <w:rFonts w:hint="eastAsia" w:ascii="宋体" w:cs="宋体"/>
          <w:color w:val="000000"/>
          <w:sz w:val="24"/>
        </w:rPr>
        <w:t xml:space="preserve">（二）初步验收：货物到达交货地点后30天内完成。甲方在设备到货后，将按合同规定对所交货物进行清点、核对和商检，对货物基本数量与质量进行初步验收（但不作为最终合格的保证），该验收应达到合同规定的要求。初步验收不合格的，甲方有权选择退或换货处理：选择换货处理的，乙方需在收到换货通知日起10个工作日内交付合格的新品，逾期未处理的，将予以退货，由此产生的费用和甲方的损失，由乙方承担；选择退货处理的，乙方需在收到退货通知之日起3个工作日内将货物自行运回，如逾期乙方未退回货物，甲方有权将货物退回乙方法定地址，由此产生的一切费用由乙方承担。 </w:t>
      </w:r>
    </w:p>
    <w:p>
      <w:pPr>
        <w:spacing w:line="440" w:lineRule="exact"/>
        <w:ind w:firstLine="480" w:firstLineChars="200"/>
        <w:rPr>
          <w:rFonts w:ascii="宋体" w:cs="宋体"/>
          <w:color w:val="000000"/>
          <w:sz w:val="24"/>
        </w:rPr>
      </w:pPr>
      <w:r>
        <w:rPr>
          <w:rFonts w:hint="eastAsia" w:ascii="宋体" w:cs="宋体"/>
          <w:color w:val="000000"/>
          <w:sz w:val="24"/>
        </w:rPr>
        <w:t>（三）最终验收：由乙方按照合同约定的具体数量、地点及时间运送到安装现场进行安装，在安装、调试与试运行无问题之后30个工作日内完成最终验收（因乙方原因导致无法验收的情况除外），甲方对设备使用与运行、功能完整性与稳定性、质量与标准等方面进行最终验收，验收合格后，签发验收单；验收不合格，甲方有权选择通知整改或退换货处理：①选择通知整改处理的，乙方需在收到整改通知日起30个工作日内完成整改，逾期未处理，将按退货处理，由此产生的费用和甲方的损失，由乙方承担；②选择换货处理的，乙方需在收到换货通知日起30个工作日内交付合格的新品，逾期未处理，将按退货处理，由此产生的费用和甲方的损失，由乙方承担；③选择退货处理的，乙方需在收到退货通知之日起10个工作日内将货物自行运回，如逾期乙方未退回货物，甲方有权将货物退回乙方法定地址，由此产生的一切费用由乙方承担。 货物按相关要求运抵甲方指定地方后，由双方依据谈判文件、谈判响应文件、合同约定、厂家货物技术标准说明及国家有关的质量标准规定，对照采购清单及技术要求进行验收。</w:t>
      </w:r>
    </w:p>
    <w:p>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pPr>
        <w:spacing w:line="440" w:lineRule="exact"/>
        <w:ind w:firstLine="480" w:firstLineChars="200"/>
        <w:rPr>
          <w:rFonts w:hAnsi="宋体"/>
          <w:b/>
          <w:bCs/>
          <w:sz w:val="24"/>
        </w:rPr>
      </w:pPr>
      <w:bookmarkStart w:id="66"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ascii="宋体" w:hAnsi="宋体"/>
          <w:b/>
          <w:kern w:val="0"/>
          <w:sz w:val="24"/>
        </w:rPr>
      </w:pPr>
      <w:r>
        <w:rPr>
          <w:rFonts w:hint="eastAsia" w:ascii="宋体" w:hAnsi="宋体"/>
          <w:b/>
          <w:kern w:val="0"/>
          <w:sz w:val="24"/>
        </w:rPr>
        <w:t>五、交货地点及时间</w:t>
      </w:r>
    </w:p>
    <w:p>
      <w:pPr>
        <w:shd w:val="clear" w:color="auto" w:fill="FFFFFF"/>
        <w:spacing w:line="360" w:lineRule="auto"/>
        <w:ind w:firstLine="480" w:firstLineChars="200"/>
        <w:rPr>
          <w:rFonts w:ascii="宋体" w:cs="宋体"/>
          <w:sz w:val="24"/>
        </w:rPr>
      </w:pPr>
      <w:r>
        <w:rPr>
          <w:rFonts w:hint="eastAsia" w:ascii="宋体" w:cs="宋体"/>
          <w:sz w:val="24"/>
        </w:rPr>
        <w:t>1.交付地点：</w:t>
      </w:r>
      <w:r>
        <w:rPr>
          <w:rFonts w:hint="eastAsia" w:ascii="宋体" w:cs="宋体"/>
          <w:sz w:val="24"/>
          <w:lang w:val="en-US" w:eastAsia="zh-CN"/>
        </w:rPr>
        <w:t>泉州师范学院主校区俊秀文学院东楼209</w:t>
      </w:r>
      <w:r>
        <w:rPr>
          <w:rFonts w:hint="eastAsia" w:ascii="宋体" w:cs="宋体"/>
          <w:sz w:val="24"/>
        </w:rPr>
        <w:t>。</w:t>
      </w:r>
    </w:p>
    <w:p>
      <w:pPr>
        <w:shd w:val="clear" w:color="auto" w:fill="FFFFFF"/>
        <w:spacing w:line="360" w:lineRule="auto"/>
        <w:ind w:firstLine="480" w:firstLineChars="200"/>
        <w:rPr>
          <w:rFonts w:ascii="宋体" w:hAnsi="宋体"/>
          <w:b/>
          <w:kern w:val="0"/>
          <w:sz w:val="24"/>
        </w:rPr>
      </w:pPr>
      <w:r>
        <w:rPr>
          <w:rFonts w:ascii="宋体" w:cs="宋体"/>
          <w:sz w:val="24"/>
        </w:rPr>
        <w:t>2</w:t>
      </w:r>
      <w:r>
        <w:rPr>
          <w:rFonts w:hint="eastAsia" w:ascii="宋体" w:cs="宋体"/>
          <w:sz w:val="24"/>
        </w:rPr>
        <w:t>.交付时间：2</w:t>
      </w:r>
      <w:r>
        <w:rPr>
          <w:rFonts w:ascii="宋体" w:cs="宋体"/>
          <w:sz w:val="24"/>
        </w:rPr>
        <w:t>023</w:t>
      </w:r>
      <w:r>
        <w:rPr>
          <w:rFonts w:hint="eastAsia" w:ascii="宋体" w:cs="宋体"/>
          <w:sz w:val="24"/>
        </w:rPr>
        <w:t>年</w:t>
      </w:r>
      <w:r>
        <w:rPr>
          <w:rFonts w:hint="eastAsia" w:ascii="宋体" w:cs="宋体"/>
          <w:sz w:val="24"/>
          <w:lang w:val="en-US" w:eastAsia="zh-CN"/>
        </w:rPr>
        <w:t>4</w:t>
      </w:r>
      <w:r>
        <w:rPr>
          <w:rFonts w:hint="eastAsia" w:ascii="宋体" w:cs="宋体"/>
          <w:sz w:val="24"/>
        </w:rPr>
        <w:t>月</w:t>
      </w:r>
      <w:r>
        <w:rPr>
          <w:rFonts w:hint="eastAsia" w:ascii="宋体" w:cs="宋体"/>
          <w:sz w:val="24"/>
          <w:lang w:val="en-US" w:eastAsia="zh-CN"/>
        </w:rPr>
        <w:t>10</w:t>
      </w:r>
      <w:r>
        <w:rPr>
          <w:rFonts w:hint="eastAsia" w:ascii="宋体" w:cs="宋体"/>
          <w:sz w:val="24"/>
        </w:rPr>
        <w:t>日之前。</w:t>
      </w:r>
    </w:p>
    <w:p>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4"/>
    <w:bookmarkEnd w:id="55"/>
    <w:bookmarkEnd w:id="56"/>
    <w:bookmarkEnd w:id="57"/>
    <w:bookmarkEnd w:id="64"/>
    <w:bookmarkEnd w:id="65"/>
    <w:bookmarkEnd w:id="66"/>
    <w:p>
      <w:pPr>
        <w:spacing w:line="440" w:lineRule="exact"/>
        <w:ind w:firstLine="480" w:firstLineChars="200"/>
        <w:rPr>
          <w:rFonts w:ascii="宋体" w:hAnsi="宋体"/>
          <w:b/>
          <w:color w:val="FF0000"/>
          <w:kern w:val="0"/>
          <w:sz w:val="24"/>
        </w:rPr>
      </w:pPr>
      <w:r>
        <w:rPr>
          <w:rFonts w:hint="eastAsia" w:ascii="宋体" w:cs="宋体"/>
          <w:color w:val="000000"/>
          <w:sz w:val="24"/>
        </w:rPr>
        <w:t>货物一次性交付，交货并验收合格及收到普通税务发票后30个工作日内付清货款给中标商。</w:t>
      </w:r>
    </w:p>
    <w:p>
      <w:pPr>
        <w:spacing w:line="440" w:lineRule="exact"/>
        <w:rPr>
          <w:rFonts w:ascii="宋体" w:hAnsi="宋体"/>
          <w:b/>
          <w:kern w:val="0"/>
          <w:sz w:val="24"/>
        </w:rPr>
      </w:pPr>
      <w:r>
        <w:rPr>
          <w:rFonts w:hint="eastAsia" w:ascii="宋体" w:hAnsi="宋体"/>
          <w:b/>
          <w:kern w:val="0"/>
          <w:sz w:val="24"/>
        </w:rPr>
        <w:t>七、知识产权</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ascii="宋体" w:hAnsi="宋体"/>
          <w:b/>
          <w:sz w:val="24"/>
        </w:rPr>
      </w:pPr>
      <w:r>
        <w:rPr>
          <w:rFonts w:hint="eastAsia" w:ascii="宋体" w:hAnsi="宋体"/>
          <w:b/>
          <w:sz w:val="24"/>
        </w:rPr>
        <w:t>八、违约责任</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bookmarkEnd w:id="50"/>
    <w:bookmarkEnd w:id="51"/>
    <w:p>
      <w:pPr>
        <w:pStyle w:val="15"/>
        <w:ind w:firstLine="210"/>
      </w:pPr>
    </w:p>
    <w:p>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5197"/>
      <w:bookmarkStart w:id="69" w:name="_Toc29063"/>
      <w:r>
        <w:rPr>
          <w:rFonts w:hint="eastAsia" w:ascii="宋体" w:hAnsi="宋体" w:eastAsia="宋体"/>
          <w:szCs w:val="32"/>
        </w:rPr>
        <w:t>第四部分    报价文件格式</w:t>
      </w:r>
      <w:bookmarkEnd w:id="67"/>
      <w:bookmarkEnd w:id="68"/>
      <w:bookmarkEnd w:id="69"/>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3"/>
      </w:pPr>
    </w:p>
    <w:p>
      <w:pPr>
        <w:spacing w:line="360" w:lineRule="auto"/>
        <w:rPr>
          <w:rFonts w:ascii="宋体" w:hAnsi="宋体"/>
          <w:b/>
          <w:sz w:val="36"/>
        </w:rPr>
      </w:pPr>
    </w:p>
    <w:p>
      <w:pPr>
        <w:pStyle w:val="13"/>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3"/>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0" w:name="_Toc14215"/>
      <w:bookmarkStart w:id="71" w:name="_Toc29646"/>
      <w:bookmarkStart w:id="72" w:name="_Toc1376"/>
      <w:bookmarkStart w:id="73" w:name="_Toc12112"/>
      <w:bookmarkStart w:id="74" w:name="_Toc393727156"/>
      <w:bookmarkStart w:id="75" w:name="_Toc373141305"/>
      <w:bookmarkStart w:id="76" w:name="_Toc1606"/>
      <w:bookmarkStart w:id="77" w:name="_Toc502907889"/>
      <w:bookmarkStart w:id="78" w:name="_Toc432513145"/>
      <w:bookmarkStart w:id="79" w:name="_Toc372013039"/>
      <w:r>
        <w:rPr>
          <w:rFonts w:hint="eastAsia" w:ascii="宋体" w:hAnsi="宋体" w:cs="宋体"/>
          <w:b/>
          <w:sz w:val="28"/>
          <w:szCs w:val="28"/>
        </w:rPr>
        <w:t>格式1                       报   价  书</w:t>
      </w:r>
      <w:bookmarkEnd w:id="70"/>
      <w:bookmarkEnd w:id="71"/>
      <w:bookmarkEnd w:id="72"/>
      <w:bookmarkEnd w:id="73"/>
    </w:p>
    <w:p>
      <w:pPr>
        <w:pStyle w:val="7"/>
        <w:spacing w:line="440" w:lineRule="exact"/>
        <w:rPr>
          <w:rFonts w:ascii="宋体" w:hAnsi="宋体" w:cs="宋体"/>
          <w:szCs w:val="28"/>
        </w:rPr>
      </w:pPr>
    </w:p>
    <w:p>
      <w:pPr>
        <w:pStyle w:val="7"/>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5"/>
        <w:ind w:firstLine="210"/>
      </w:pPr>
    </w:p>
    <w:p>
      <w:pPr>
        <w:spacing w:line="440" w:lineRule="exact"/>
        <w:rPr>
          <w:rFonts w:ascii="宋体" w:hAnsi="宋体" w:cs="宋体"/>
          <w:b/>
          <w:sz w:val="28"/>
          <w:szCs w:val="28"/>
        </w:rPr>
      </w:pPr>
    </w:p>
    <w:p>
      <w:pPr>
        <w:pStyle w:val="2"/>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13976"/>
      <w:bookmarkStart w:id="81" w:name="_Toc20566"/>
      <w:bookmarkStart w:id="82" w:name="_Toc4358"/>
      <w:bookmarkStart w:id="83" w:name="_Toc26916"/>
      <w:r>
        <w:rPr>
          <w:rFonts w:hint="eastAsia" w:ascii="宋体" w:hAnsi="宋体" w:cs="宋体"/>
          <w:b/>
          <w:sz w:val="28"/>
          <w:szCs w:val="28"/>
        </w:rPr>
        <w:t>格式2                       报价一览表</w:t>
      </w:r>
      <w:bookmarkEnd w:id="80"/>
      <w:bookmarkEnd w:id="81"/>
      <w:bookmarkEnd w:id="82"/>
      <w:bookmarkEnd w:id="83"/>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ascii="宋体" w:hAnsi="宋体" w:cs="宋体"/>
                <w:sz w:val="24"/>
                <w:szCs w:val="24"/>
                <w:u w:val="single"/>
              </w:rPr>
            </w:pPr>
          </w:p>
        </w:tc>
      </w:tr>
    </w:tbl>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pStyle w:val="15"/>
        <w:ind w:firstLine="280"/>
        <w:rPr>
          <w:rFonts w:ascii="宋体" w:hAnsi="宋体" w:cs="宋体"/>
          <w:sz w:val="28"/>
          <w:szCs w:val="28"/>
        </w:rPr>
      </w:pPr>
    </w:p>
    <w:p>
      <w:pPr>
        <w:spacing w:line="400" w:lineRule="exact"/>
        <w:rPr>
          <w:rFonts w:hAnsi="宋体"/>
          <w:b/>
          <w:sz w:val="24"/>
        </w:rPr>
      </w:pPr>
      <w:bookmarkStart w:id="84" w:name="_Toc477899480"/>
    </w:p>
    <w:p>
      <w:pPr>
        <w:spacing w:line="400" w:lineRule="exact"/>
        <w:outlineLvl w:val="0"/>
        <w:rPr>
          <w:rFonts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pStyle w:val="2"/>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pStyle w:val="15"/>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87" w:name="_Toc24019"/>
      <w:bookmarkStart w:id="88" w:name="_Toc29026"/>
      <w:bookmarkStart w:id="89" w:name="_Toc24037"/>
      <w:bookmarkStart w:id="90" w:name="_Toc102"/>
      <w:bookmarkStart w:id="91" w:name="_Toc432513149"/>
      <w:bookmarkStart w:id="92" w:name="_Toc373141312"/>
      <w:bookmarkStart w:id="93" w:name="_Toc502907895"/>
      <w:bookmarkStart w:id="94" w:name="_Toc393727163"/>
      <w:bookmarkStart w:id="95" w:name="_Toc372013046"/>
      <w:bookmarkStart w:id="96" w:name="_Toc145132116"/>
      <w:bookmarkStart w:id="97" w:name="_Toc23010"/>
    </w:p>
    <w:p>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pPr>
        <w:spacing w:line="440" w:lineRule="exact"/>
        <w:ind w:firstLine="2940" w:firstLineChars="1046"/>
        <w:jc w:val="left"/>
        <w:rPr>
          <w:rFonts w:ascii="宋体" w:hAnsi="宋体" w:cs="宋体"/>
          <w:b/>
          <w:sz w:val="28"/>
          <w:szCs w:val="28"/>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3"/>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4657"/>
      <w:bookmarkStart w:id="99" w:name="_Toc15327"/>
      <w:bookmarkStart w:id="100" w:name="_Toc13141"/>
      <w:bookmarkStart w:id="101" w:name="_Toc30609"/>
      <w:r>
        <w:rPr>
          <w:rFonts w:hint="eastAsia" w:ascii="宋体" w:hAnsi="宋体" w:cs="宋体"/>
          <w:b/>
          <w:sz w:val="28"/>
          <w:szCs w:val="28"/>
        </w:rPr>
        <w:t>格式5                  法定代表人授权书(原件)</w:t>
      </w:r>
      <w:bookmarkEnd w:id="98"/>
      <w:bookmarkEnd w:id="99"/>
      <w:bookmarkEnd w:id="100"/>
      <w:bookmarkEnd w:id="101"/>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19"/>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19"/>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19"/>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19"/>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19"/>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19"/>
        <w:spacing w:line="360" w:lineRule="auto"/>
        <w:ind w:right="560" w:firstLine="560"/>
        <w:jc w:val="center"/>
        <w:rPr>
          <w:rFonts w:ascii="宋体" w:hAnsi="宋体" w:cs="宋体"/>
          <w:szCs w:val="24"/>
        </w:rPr>
      </w:pPr>
    </w:p>
    <w:p>
      <w:pPr>
        <w:pStyle w:val="19"/>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5"/>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outlineLvl w:val="0"/>
        <w:rPr>
          <w:rFonts w:ascii="宋体" w:hAnsi="宋体" w:cs="宋体"/>
          <w:b/>
          <w:sz w:val="28"/>
          <w:szCs w:val="28"/>
        </w:rPr>
      </w:pPr>
      <w:r>
        <w:rPr>
          <w:rFonts w:hint="eastAsia" w:ascii="宋体" w:hAnsi="宋体" w:cs="宋体"/>
          <w:b/>
          <w:sz w:val="28"/>
          <w:szCs w:val="28"/>
        </w:rPr>
        <w:t>格式6                          资格声明函</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2"/>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pStyle w:val="12"/>
        <w:widowControl/>
        <w:ind w:firstLine="336"/>
        <w:rPr>
          <w:rFonts w:asciiTheme="minorEastAsia" w:hAnsiTheme="minorEastAsia" w:eastAsiaTheme="minorEastAsia" w:cstheme="minorEastAsia"/>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pPr>
        <w:pStyle w:val="7"/>
        <w:spacing w:line="360" w:lineRule="auto"/>
        <w:rPr>
          <w:rFonts w:ascii="宋体" w:hAnsi="宋体" w:cs="宋体"/>
          <w:color w:val="FF0000"/>
          <w:sz w:val="24"/>
          <w:szCs w:val="24"/>
        </w:rPr>
      </w:pPr>
    </w:p>
    <w:p>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泉州师范学院教务处</w:t>
      </w:r>
      <w:r>
        <w:rPr>
          <w:rFonts w:hint="eastAsia" w:ascii="宋体" w:hAnsi="宋体" w:cs="宋体"/>
          <w:b/>
          <w:bCs/>
          <w:sz w:val="24"/>
          <w:szCs w:val="24"/>
          <w:u w:val="single"/>
        </w:rPr>
        <w:t xml:space="preserve">      </w:t>
      </w: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pStyle w:val="12"/>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w:rPr>
              <w:rFonts w:hint="eastAsia"/>
            </w:rPr>
            <w:t xml:space="preserve">福建诚信招标有限公司                          联系电话：0595-22507198、22507298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fldChar w:fldCharType="begin"/>
    </w:r>
    <w:r>
      <w:rPr>
        <w:rStyle w:val="18"/>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1534F"/>
    <w:multiLevelType w:val="singleLevel"/>
    <w:tmpl w:val="ED6153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GMyNzc5MjIxZmNlYTJmM2JkNTJkYWI5ZGJlMzYifQ=="/>
  </w:docVars>
  <w:rsids>
    <w:rsidRoot w:val="1112623B"/>
    <w:rsid w:val="000E1F40"/>
    <w:rsid w:val="001427B3"/>
    <w:rsid w:val="008702BB"/>
    <w:rsid w:val="009F6F93"/>
    <w:rsid w:val="00E07099"/>
    <w:rsid w:val="00E6215F"/>
    <w:rsid w:val="1112623B"/>
    <w:rsid w:val="113D64B6"/>
    <w:rsid w:val="14A72269"/>
    <w:rsid w:val="2F6649D2"/>
    <w:rsid w:val="303F76FD"/>
    <w:rsid w:val="46113EB4"/>
    <w:rsid w:val="46320802"/>
    <w:rsid w:val="470F549C"/>
    <w:rsid w:val="616E3714"/>
    <w:rsid w:val="6668623C"/>
    <w:rsid w:val="6FD94751"/>
    <w:rsid w:val="75BC0475"/>
    <w:rsid w:val="7B316901"/>
    <w:rsid w:val="7B3C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jc w:val="center"/>
    </w:pPr>
    <w:rPr>
      <w:rFonts w:ascii="Arial Black" w:hAnsi="Arial Black" w:cs="Arial Black"/>
      <w:i/>
      <w:iCs/>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page number"/>
    <w:qFormat/>
    <w:uiPriority w:val="0"/>
  </w:style>
  <w:style w:type="paragraph" w:customStyle="1" w:styleId="19">
    <w:name w:val="ptdl"/>
    <w:basedOn w:val="1"/>
    <w:qFormat/>
    <w:uiPriority w:val="0"/>
    <w:pPr>
      <w:spacing w:after="156"/>
      <w:ind w:firstLine="480"/>
    </w:pPr>
    <w:rPr>
      <w:sz w:val="24"/>
      <w:szCs w:val="20"/>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7"/>
    <w:link w:val="8"/>
    <w:qFormat/>
    <w:uiPriority w:val="0"/>
    <w:rPr>
      <w:rFonts w:ascii="Times New Roman" w:hAnsi="Times New Roman" w:eastAsia="宋体" w:cs="Times New Roman"/>
      <w:kern w:val="2"/>
      <w:sz w:val="18"/>
      <w:szCs w:val="18"/>
    </w:rPr>
  </w:style>
  <w:style w:type="character" w:customStyle="1" w:styleId="22">
    <w:name w:val="font81"/>
    <w:qFormat/>
    <w:uiPriority w:val="0"/>
    <w:rPr>
      <w:rFonts w:hint="eastAsia" w:ascii="宋体" w:hAnsi="宋体" w:eastAsia="宋体" w:cs="宋体"/>
      <w:b/>
      <w:bCs/>
      <w:color w:val="00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basedOn w:val="17"/>
    <w:qFormat/>
    <w:uiPriority w:val="0"/>
    <w:rPr>
      <w:rFonts w:hint="eastAsia" w:ascii="宋体" w:hAnsi="宋体" w:eastAsia="宋体" w:cs="宋体"/>
      <w:color w:val="000000"/>
      <w:sz w:val="20"/>
      <w:szCs w:val="20"/>
      <w:u w:val="none"/>
    </w:rPr>
  </w:style>
  <w:style w:type="character" w:customStyle="1" w:styleId="25">
    <w:name w:val="font6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17</Pages>
  <Words>6246</Words>
  <Characters>6547</Characters>
  <Lines>66</Lines>
  <Paragraphs>18</Paragraphs>
  <TotalTime>39</TotalTime>
  <ScaleCrop>false</ScaleCrop>
  <LinksUpToDate>false</LinksUpToDate>
  <CharactersWithSpaces>8091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张晓琳</cp:lastModifiedBy>
  <dcterms:modified xsi:type="dcterms:W3CDTF">2023-03-28T02:33:20Z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F398A5CA0B5541CC9D55D811BDC1ADC5</vt:lpwstr>
  </property>
</Properties>
</file>